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7C47" w:rsidRDefault="00F850F3">
      <w:pPr>
        <w:tabs>
          <w:tab w:val="right" w:pos="10080"/>
        </w:tabs>
        <w:spacing w:after="0" w:line="259" w:lineRule="auto"/>
        <w:ind w:left="0" w:right="0" w:firstLine="0"/>
        <w:jc w:val="left"/>
      </w:pPr>
      <w:r>
        <w:rPr>
          <w:b/>
          <w:sz w:val="26"/>
        </w:rPr>
        <w:t xml:space="preserve">BỘ TÀI NGUYÊN VÀ MÔI TRƯỜNG </w:t>
      </w:r>
      <w:r>
        <w:rPr>
          <w:b/>
          <w:sz w:val="26"/>
        </w:rPr>
        <w:tab/>
        <w:t xml:space="preserve">CỘNG HÒA XÃ HỘI CHỦ NGHĨA VIỆT NAM </w:t>
      </w:r>
    </w:p>
    <w:p w:rsidR="00FA7C47" w:rsidRDefault="00F850F3">
      <w:pPr>
        <w:spacing w:after="41" w:line="259" w:lineRule="auto"/>
        <w:ind w:left="1015" w:right="0" w:firstLine="0"/>
        <w:jc w:val="left"/>
      </w:pPr>
      <w:r>
        <w:rPr>
          <w:rFonts w:ascii="Calibri" w:eastAsia="Calibri" w:hAnsi="Calibri" w:cs="Calibri"/>
          <w:noProof/>
          <w:sz w:val="22"/>
        </w:rPr>
        <mc:AlternateContent>
          <mc:Choice Requires="wpg">
            <w:drawing>
              <wp:inline distT="0" distB="0" distL="0" distR="0">
                <wp:extent cx="1397000" cy="9525"/>
                <wp:effectExtent l="0" t="0" r="0" b="0"/>
                <wp:docPr id="14580" name="Group 14580"/>
                <wp:cNvGraphicFramePr/>
                <a:graphic xmlns:a="http://schemas.openxmlformats.org/drawingml/2006/main">
                  <a:graphicData uri="http://schemas.microsoft.com/office/word/2010/wordprocessingGroup">
                    <wpg:wgp>
                      <wpg:cNvGrpSpPr/>
                      <wpg:grpSpPr>
                        <a:xfrm>
                          <a:off x="0" y="0"/>
                          <a:ext cx="1397000" cy="9525"/>
                          <a:chOff x="0" y="0"/>
                          <a:chExt cx="1397000" cy="9525"/>
                        </a:xfrm>
                      </wpg:grpSpPr>
                      <wps:wsp>
                        <wps:cNvPr id="1461" name="Shape 1461"/>
                        <wps:cNvSpPr/>
                        <wps:spPr>
                          <a:xfrm>
                            <a:off x="0" y="0"/>
                            <a:ext cx="1397000" cy="0"/>
                          </a:xfrm>
                          <a:custGeom>
                            <a:avLst/>
                            <a:gdLst/>
                            <a:ahLst/>
                            <a:cxnLst/>
                            <a:rect l="0" t="0" r="0" b="0"/>
                            <a:pathLst>
                              <a:path w="1397000">
                                <a:moveTo>
                                  <a:pt x="0" y="0"/>
                                </a:moveTo>
                                <a:lnTo>
                                  <a:pt x="1397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80" style="width:110pt;height:0.75pt;mso-position-horizontal-relative:char;mso-position-vertical-relative:line" coordsize="13970,95">
                <v:shape id="Shape 1461" style="position:absolute;width:13970;height:0;left:0;top:0;" coordsize="1397000,0" path="m0,0l1397000,0">
                  <v:stroke weight="0.75pt" endcap="flat" joinstyle="round" on="true" color="#000000"/>
                  <v:fill on="false" color="#000000" opacity="0"/>
                </v:shape>
              </v:group>
            </w:pict>
          </mc:Fallback>
        </mc:AlternateContent>
      </w:r>
    </w:p>
    <w:p w:rsidR="00FA7C47" w:rsidRDefault="00F850F3">
      <w:pPr>
        <w:tabs>
          <w:tab w:val="center" w:pos="2184"/>
          <w:tab w:val="center" w:pos="7469"/>
        </w:tabs>
        <w:spacing w:after="0" w:line="270" w:lineRule="auto"/>
        <w:ind w:left="0" w:right="0" w:firstLine="0"/>
        <w:jc w:val="left"/>
      </w:pPr>
      <w:r>
        <w:rPr>
          <w:rFonts w:ascii="Calibri" w:eastAsia="Calibri" w:hAnsi="Calibri" w:cs="Calibri"/>
          <w:sz w:val="22"/>
        </w:rPr>
        <w:tab/>
      </w:r>
      <w:r>
        <w:t xml:space="preserve"> </w:t>
      </w:r>
      <w:r>
        <w:tab/>
      </w:r>
      <w:r>
        <w:rPr>
          <w:b/>
        </w:rPr>
        <w:t xml:space="preserve">Độc lập - Tự do - Hạnh phúc </w:t>
      </w:r>
    </w:p>
    <w:p w:rsidR="00FA7C47" w:rsidRDefault="00F850F3">
      <w:pPr>
        <w:tabs>
          <w:tab w:val="center" w:pos="2184"/>
          <w:tab w:val="center" w:pos="7490"/>
        </w:tabs>
        <w:spacing w:after="139" w:line="259" w:lineRule="auto"/>
        <w:ind w:left="0" w:right="0" w:firstLine="0"/>
        <w:jc w:val="left"/>
      </w:pPr>
      <w:r>
        <w:rPr>
          <w:rFonts w:ascii="Calibri" w:eastAsia="Calibri" w:hAnsi="Calibri" w:cs="Calibri"/>
          <w:sz w:val="22"/>
        </w:rPr>
        <w:tab/>
      </w:r>
      <w:r>
        <w:t xml:space="preserve"> </w:t>
      </w:r>
      <w:r>
        <w:tab/>
      </w:r>
      <w:r>
        <w:rPr>
          <w:rFonts w:ascii="Calibri" w:eastAsia="Calibri" w:hAnsi="Calibri" w:cs="Calibri"/>
          <w:noProof/>
          <w:sz w:val="22"/>
        </w:rPr>
        <mc:AlternateContent>
          <mc:Choice Requires="wpg">
            <w:drawing>
              <wp:inline distT="0" distB="0" distL="0" distR="0">
                <wp:extent cx="1923415" cy="9525"/>
                <wp:effectExtent l="0" t="0" r="0" b="0"/>
                <wp:docPr id="14581" name="Group 14581"/>
                <wp:cNvGraphicFramePr/>
                <a:graphic xmlns:a="http://schemas.openxmlformats.org/drawingml/2006/main">
                  <a:graphicData uri="http://schemas.microsoft.com/office/word/2010/wordprocessingGroup">
                    <wpg:wgp>
                      <wpg:cNvGrpSpPr/>
                      <wpg:grpSpPr>
                        <a:xfrm>
                          <a:off x="0" y="0"/>
                          <a:ext cx="1923415" cy="9525"/>
                          <a:chOff x="0" y="0"/>
                          <a:chExt cx="1923415" cy="9525"/>
                        </a:xfrm>
                      </wpg:grpSpPr>
                      <wps:wsp>
                        <wps:cNvPr id="1462" name="Shape 1462"/>
                        <wps:cNvSpPr/>
                        <wps:spPr>
                          <a:xfrm>
                            <a:off x="0" y="0"/>
                            <a:ext cx="1923415" cy="0"/>
                          </a:xfrm>
                          <a:custGeom>
                            <a:avLst/>
                            <a:gdLst/>
                            <a:ahLst/>
                            <a:cxnLst/>
                            <a:rect l="0" t="0" r="0" b="0"/>
                            <a:pathLst>
                              <a:path w="1923415">
                                <a:moveTo>
                                  <a:pt x="0" y="0"/>
                                </a:moveTo>
                                <a:lnTo>
                                  <a:pt x="192341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81" style="width:151.45pt;height:0.75pt;mso-position-horizontal-relative:char;mso-position-vertical-relative:line" coordsize="19234,95">
                <v:shape id="Shape 1462" style="position:absolute;width:19234;height:0;left:0;top:0;" coordsize="1923415,0" path="m0,0l1923415,0">
                  <v:stroke weight="0.75pt" endcap="flat" joinstyle="round" on="true" color="#000000"/>
                  <v:fill on="false" color="#000000" opacity="0"/>
                </v:shape>
              </v:group>
            </w:pict>
          </mc:Fallback>
        </mc:AlternateContent>
      </w:r>
      <w:r>
        <w:rPr>
          <w:i/>
        </w:rPr>
        <w:t xml:space="preserve"> </w:t>
      </w:r>
    </w:p>
    <w:p w:rsidR="00FA7C47" w:rsidRDefault="00F850F3">
      <w:pPr>
        <w:spacing w:after="0" w:line="259" w:lineRule="auto"/>
        <w:ind w:left="110" w:right="0" w:firstLine="0"/>
        <w:jc w:val="center"/>
      </w:pPr>
      <w:r>
        <w:rPr>
          <w:b/>
        </w:rPr>
        <w:t xml:space="preserve"> </w:t>
      </w:r>
    </w:p>
    <w:p w:rsidR="00FA7C47" w:rsidRDefault="00F850F3">
      <w:pPr>
        <w:spacing w:after="0" w:line="259" w:lineRule="auto"/>
        <w:ind w:left="51" w:right="3" w:hanging="10"/>
        <w:jc w:val="center"/>
      </w:pPr>
      <w:r>
        <w:rPr>
          <w:b/>
        </w:rPr>
        <w:t xml:space="preserve">GIỚI THIỆU CÁC NỘI DUNG CHÍNH </w:t>
      </w:r>
    </w:p>
    <w:p w:rsidR="00FA7C47" w:rsidRDefault="00F850F3">
      <w:pPr>
        <w:spacing w:after="151" w:line="259" w:lineRule="auto"/>
        <w:ind w:left="51" w:right="0" w:hanging="10"/>
        <w:jc w:val="center"/>
      </w:pPr>
      <w:r>
        <w:rPr>
          <w:b/>
        </w:rPr>
        <w:t xml:space="preserve">CỦA LUẬT BẢO VỆ MÔI TRƯỜNG 2020 </w:t>
      </w:r>
    </w:p>
    <w:p w:rsidR="00FA7C47" w:rsidRDefault="00F850F3">
      <w:pPr>
        <w:spacing w:after="0" w:line="272" w:lineRule="auto"/>
        <w:ind w:left="1938" w:right="1829" w:firstLine="0"/>
        <w:jc w:val="center"/>
      </w:pPr>
      <w:r>
        <w:rPr>
          <w:b/>
          <w:i/>
        </w:rPr>
        <w:t>(</w:t>
      </w:r>
      <w:r>
        <w:rPr>
          <w:b/>
          <w:i/>
        </w:rPr>
        <w:t xml:space="preserve">Tài liệu phục vụ công tác tuyên truyền, phổ biến  Luật bảo vệ môi trường năm 2020) </w:t>
      </w:r>
    </w:p>
    <w:p w:rsidR="00FA7C47" w:rsidRDefault="00F850F3">
      <w:pPr>
        <w:spacing w:after="91" w:line="259" w:lineRule="auto"/>
        <w:ind w:left="0" w:right="138" w:firstLine="0"/>
        <w:jc w:val="center"/>
      </w:pPr>
      <w:r>
        <w:rPr>
          <w:rFonts w:ascii="Calibri" w:eastAsia="Calibri" w:hAnsi="Calibri" w:cs="Calibri"/>
          <w:noProof/>
          <w:sz w:val="22"/>
        </w:rPr>
        <mc:AlternateContent>
          <mc:Choice Requires="wpg">
            <w:drawing>
              <wp:inline distT="0" distB="0" distL="0" distR="0">
                <wp:extent cx="1095375" cy="9525"/>
                <wp:effectExtent l="0" t="0" r="0" b="0"/>
                <wp:docPr id="14582" name="Group 14582"/>
                <wp:cNvGraphicFramePr/>
                <a:graphic xmlns:a="http://schemas.openxmlformats.org/drawingml/2006/main">
                  <a:graphicData uri="http://schemas.microsoft.com/office/word/2010/wordprocessingGroup">
                    <wpg:wgp>
                      <wpg:cNvGrpSpPr/>
                      <wpg:grpSpPr>
                        <a:xfrm>
                          <a:off x="0" y="0"/>
                          <a:ext cx="1095375" cy="9525"/>
                          <a:chOff x="0" y="0"/>
                          <a:chExt cx="1095375" cy="9525"/>
                        </a:xfrm>
                      </wpg:grpSpPr>
                      <wps:wsp>
                        <wps:cNvPr id="1463" name="Shape 1463"/>
                        <wps:cNvSpPr/>
                        <wps:spPr>
                          <a:xfrm>
                            <a:off x="0" y="0"/>
                            <a:ext cx="1095375" cy="0"/>
                          </a:xfrm>
                          <a:custGeom>
                            <a:avLst/>
                            <a:gdLst/>
                            <a:ahLst/>
                            <a:cxnLst/>
                            <a:rect l="0" t="0" r="0" b="0"/>
                            <a:pathLst>
                              <a:path w="1095375">
                                <a:moveTo>
                                  <a:pt x="0" y="0"/>
                                </a:moveTo>
                                <a:lnTo>
                                  <a:pt x="10953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82" style="width:86.25pt;height:0.75pt;mso-position-horizontal-relative:char;mso-position-vertical-relative:line" coordsize="10953,95">
                <v:shape id="Shape 1463" style="position:absolute;width:10953;height:0;left:0;top:0;" coordsize="1095375,0" path="m0,0l1095375,0">
                  <v:stroke weight="0.75pt" endcap="flat" joinstyle="round" on="true" color="#000000"/>
                  <v:fill on="false" color="#000000" opacity="0"/>
                </v:shape>
              </v:group>
            </w:pict>
          </mc:Fallback>
        </mc:AlternateContent>
      </w:r>
      <w:r>
        <w:t xml:space="preserve"> </w:t>
      </w:r>
    </w:p>
    <w:p w:rsidR="00FA7C47" w:rsidRDefault="00F850F3">
      <w:pPr>
        <w:ind w:left="509" w:right="473"/>
      </w:pPr>
      <w:r>
        <w:t>Luật Bảo vệ môi trường số 72/2020/QH14 được Quốc hội khóa XIV thông qua tại kỳ họp thứ 10, có hiệu lực thi hành từ ngày 01/01/2022 với 16 chương, 171 điều (giảm 04 chươn</w:t>
      </w:r>
      <w:r>
        <w:t xml:space="preserve">g và tăng 01 điều so với Luật Bảo vệ môi trường năm 2014). Thực hiện Quyết định số 343/QĐ-TTg ngày 12/3/2021 của Thủ tướng Chính phủ ban hành Kế hoạch triển khai thi hành Luật Bảo vệ môi trường (BVMT), Bộ Tài nguyên và Môi trường (TN&amp;MT) xây dựng tài liệu </w:t>
      </w:r>
      <w:r>
        <w:t xml:space="preserve">phục vụ công tác tuyên truyền, phổ biến Luật BVMT năm 2020 với các nội dung chính như sau: </w:t>
      </w:r>
    </w:p>
    <w:p w:rsidR="00FA7C47" w:rsidRDefault="00F850F3">
      <w:pPr>
        <w:spacing w:after="122" w:line="270" w:lineRule="auto"/>
        <w:ind w:left="509" w:right="477"/>
      </w:pPr>
      <w:r>
        <w:rPr>
          <w:b/>
        </w:rPr>
        <w:t xml:space="preserve">I. SỰ CẦN THIẾT, MỤC TIÊU, QUAN ĐIỂM XÂY DỰNG LUẬT BVMT NĂM 2020 </w:t>
      </w:r>
    </w:p>
    <w:p w:rsidR="00FA7C47" w:rsidRDefault="00F850F3">
      <w:pPr>
        <w:spacing w:after="121" w:line="270" w:lineRule="auto"/>
        <w:ind w:left="1244" w:right="477" w:firstLine="0"/>
      </w:pPr>
      <w:r>
        <w:rPr>
          <w:b/>
        </w:rPr>
        <w:t xml:space="preserve">1. Sự cần thiết </w:t>
      </w:r>
    </w:p>
    <w:p w:rsidR="00FA7C47" w:rsidRDefault="00F850F3">
      <w:pPr>
        <w:spacing w:after="147"/>
        <w:ind w:left="509" w:right="473"/>
      </w:pPr>
      <w:r>
        <w:t xml:space="preserve">Bảo vệ tài nguyên, BVMT là một trong ba trụ cột phát triển kinh tế - xã hội của </w:t>
      </w:r>
      <w:r>
        <w:t>đất nước. Trong thời gian qua, Đảng và Nhà nước ta đã rất quan tâm đến công tác BVMT với phương châm không đánh đổi môi trường bằng sự tăng trưởng và phát triển kinh tế trước mắt và đã có nhiều biện pháp, chính sách cụ thể phù hợp với từng giai đoạn phát</w:t>
      </w:r>
      <w:r>
        <w:t xml:space="preserve"> triển của đất nước. Trên tinh thần đó, Luật BVMT 2014 ra đời đã tạo hành lang pháp lý quan trọng cho công tác BVMT trong hơn 5 năm qua, đóng góp quan trọng cho các thành tựu về phát triển kinh tế - xã hội, được nhân dân ghi nhận, bạn bè quốc tế đánh giá c</w:t>
      </w:r>
      <w:r>
        <w:t xml:space="preserve">ao, coi đây như một mô hình phát triển kinh tế - xã hội một cách bền vững. </w:t>
      </w:r>
    </w:p>
    <w:p w:rsidR="00FA7C47" w:rsidRDefault="00F850F3">
      <w:pPr>
        <w:spacing w:after="153"/>
        <w:ind w:left="509" w:right="473"/>
      </w:pPr>
      <w:r>
        <w:t xml:space="preserve">Tuy nhiên, sau hơn 05 năm thực thi, tình hình đất nước và trên thế giới hiện nay đã có những biến đổi sâu rộng, nhiều cơ hội và thách thức đan xen. Từ những vấn đề, thách thức mới </w:t>
      </w:r>
      <w:r>
        <w:t xml:space="preserve">phát sinh từ thực tiễn cuộc sống và để đáp ứng yêu cầu hội nhập trong thời kỳ mới đã đặt ra yêu cầu cấp thiết phải sửa đổi Luật. Cụ thể là: </w:t>
      </w:r>
    </w:p>
    <w:p w:rsidR="00FA7C47" w:rsidRDefault="00F850F3">
      <w:pPr>
        <w:numPr>
          <w:ilvl w:val="0"/>
          <w:numId w:val="1"/>
        </w:numPr>
        <w:ind w:right="473"/>
      </w:pPr>
      <w:r>
        <w:t>Nhiều quan điểm, chủ trương, chính sách mới của Đảng và Nhà nước về phát triển bền vững, BVMT đã được ban hành cùng</w:t>
      </w:r>
      <w:r>
        <w:t xml:space="preserve"> với nhiều cam kết quốc tế có liên quan đến môi trường đã được Việt Nam tham gia (hiệp định CPTPP, EVFTA, v.v.) đặt ra yêu cầu cần sớm được thể chế hóa để tạo hành lang pháp lý triển khai thực hiện.  </w:t>
      </w:r>
    </w:p>
    <w:p w:rsidR="00FA7C47" w:rsidRDefault="00F850F3">
      <w:pPr>
        <w:numPr>
          <w:ilvl w:val="0"/>
          <w:numId w:val="1"/>
        </w:numPr>
        <w:ind w:right="473"/>
      </w:pPr>
      <w:r>
        <w:t>Thế giới bước vào cuộc cách mạng công nghiệp lần thứ tư</w:t>
      </w:r>
      <w:r>
        <w:t xml:space="preserve"> với sự phát triển vượt bậc về trình độ khoa học và công nghệ, góp phần định hình các mô hình tăng trưởng mới; mở ra nhiều cơ hội cho việc thay đổi phương thức quản lý môi trường theo hướng hiện đại hơn, thích ứng với những thay đổi nhanh của thực tiễn cuộ</w:t>
      </w:r>
      <w:r>
        <w:t xml:space="preserve">c sống.  </w:t>
      </w:r>
    </w:p>
    <w:p w:rsidR="00FA7C47" w:rsidRDefault="00F850F3">
      <w:pPr>
        <w:numPr>
          <w:ilvl w:val="0"/>
          <w:numId w:val="1"/>
        </w:numPr>
        <w:spacing w:after="157"/>
        <w:ind w:right="473"/>
      </w:pPr>
      <w:r>
        <w:t>Quan hệ hợp tác quốc tế trên thế giới cũng đang có những thay đổi sâu sắc. Sự cọ xát và cạnh tranh chiến lược, điều chỉnh chiến lược, tranh giành ảnh hưởng giữa các nước lớn ngày càng gia tăng, quyết liệt và có tác động sâu rộng; các vấn đề toà</w:t>
      </w:r>
      <w:r>
        <w:t xml:space="preserve">n cầu và an ninh phi truyền thống ngày càng nghiêm trọng. Trong đó, cạn kiệt tài nguyên, nhất là năng lượng và nguồn nước đang là vấn đề nổi trội, tác động tới an ninh và phát triển của nhiều nước, nhiều khu vực. Nhu cầu về tài nguyên của các nền kinh tế, </w:t>
      </w:r>
      <w:r>
        <w:t>đặc biệt là các nền kinh tế mới nổi và các nền kinh tế của các nước đang phát triển sẽ tăng vọt dẫn tới việc cạnh tranh các nguồn tài nguyên vốn đã gay gắt sẽ trở nên nghiêm trọng hơn. Điều đó đòi hỏi chúng ta phải sớm có những thay đổi về chính sách B</w:t>
      </w:r>
      <w:r>
        <w:t xml:space="preserve">VMT để thích ứng. </w:t>
      </w:r>
    </w:p>
    <w:p w:rsidR="00FA7C47" w:rsidRDefault="00F850F3">
      <w:pPr>
        <w:numPr>
          <w:ilvl w:val="0"/>
          <w:numId w:val="1"/>
        </w:numPr>
        <w:spacing w:after="130"/>
        <w:ind w:right="473"/>
      </w:pPr>
      <w:r>
        <w:t>Việt Nam là một trong những quốc gia bị ảnh hưởng nặng nề của biến đổi khí hậu (BĐKH); những ảnh hưởng của BĐKH đối với các ngành, lĩnh vực, nhất là sản xuất nông nghiệp đang là thách thức lớn cho Việt Nam. Trước thực trạng của ảnh hưởng</w:t>
      </w:r>
      <w:r>
        <w:t xml:space="preserve"> BĐKH đã đặt ra yêu cầu cần sớm hoàn thiện khung chính sách nhằm thích ứng với BĐKH, giảm thiểu tối đa những tác động tiêu cực, thiệt hại do BĐKH gây ra. </w:t>
      </w:r>
    </w:p>
    <w:p w:rsidR="00FA7C47" w:rsidRDefault="00F850F3">
      <w:pPr>
        <w:numPr>
          <w:ilvl w:val="0"/>
          <w:numId w:val="1"/>
        </w:numPr>
        <w:spacing w:after="154"/>
        <w:ind w:right="473"/>
      </w:pPr>
      <w:r>
        <w:t xml:space="preserve">Mặc dù đã đạt những thành tựu đáng khích lệ </w:t>
      </w:r>
      <w:r>
        <w:t>nhưng môi trường nước ta đang diễn biến ngày càng phức tạp; chất lượng môi trường tại một số nơi đã vượt ngưỡng cho phép, không còn khả năng tiếp nhận chất thải. Ô nhiễm môi trường vẫn tiếp tục có xu hướng gia tăng tại các lưu vực sông, làng nghề và đặc b</w:t>
      </w:r>
      <w:r>
        <w:t>iệt là ô nhiễm môi trường không khí tại các đô thị, thành phố lớn. Điều đó đòi hỏi cần có sự bổ sung, hoàn thành các quy định, công cụ pháp lý để kiểm soát, quản lý có hiệu quả chất lượng các thành phần môi trường, tiệm cận với quy định pháp lý của các n</w:t>
      </w:r>
      <w:r>
        <w:t xml:space="preserve">ước trên thế giới, bảo đảm người dân Việt Nam phải được sống trong môi trường trong lành như Hiến pháp đã quy định. </w:t>
      </w:r>
    </w:p>
    <w:p w:rsidR="00FA7C47" w:rsidRDefault="00F850F3">
      <w:pPr>
        <w:numPr>
          <w:ilvl w:val="0"/>
          <w:numId w:val="2"/>
        </w:numPr>
        <w:spacing w:after="72" w:line="270" w:lineRule="auto"/>
        <w:ind w:left="1525" w:right="477" w:hanging="281"/>
      </w:pPr>
      <w:r>
        <w:rPr>
          <w:b/>
        </w:rPr>
        <w:t xml:space="preserve">Mục tiêu  </w:t>
      </w:r>
    </w:p>
    <w:p w:rsidR="00FA7C47" w:rsidRDefault="00F850F3">
      <w:pPr>
        <w:spacing w:after="155"/>
        <w:ind w:left="509" w:right="473"/>
      </w:pPr>
      <w:r>
        <w:t>Thể chế hóa kịp thời chủ trương, đường lối của Đảng, chính sách của Nhà nước, đặc biệt là Kết luận số 56-KL/TW ngày 23/8/2019 củ</w:t>
      </w:r>
      <w:r>
        <w:t>a Bộ Chính trị về tiếp tục thực hiện Nghị quyết Trung ương 7 khóa XI về chủ động ứng phó với BĐKH, tăng cường quản lý tài nguyên và BVMT; cải cách thể chế môi trường của Việt Nam tiệm cận hài hòa với chính sách pháp luật BVMT trên thế giới, đáp ứng yêu cầ</w:t>
      </w:r>
      <w:r>
        <w:t xml:space="preserve">u hội nhập quốc tế và bối cảnh quốc tế đặt ra trong giai đoạn hiện nay. Mục tiêu cao nhất là cải thiện chất lượng môi trường, bảo vệ sức khỏe người dân, cân bằng sinh thái, bảo tồn đa dạng sinh học và phát triển kinh tế bền vững. </w:t>
      </w:r>
    </w:p>
    <w:p w:rsidR="00FA7C47" w:rsidRDefault="00F850F3">
      <w:pPr>
        <w:numPr>
          <w:ilvl w:val="0"/>
          <w:numId w:val="2"/>
        </w:numPr>
        <w:spacing w:after="127" w:line="270" w:lineRule="auto"/>
        <w:ind w:left="1525" w:right="477" w:hanging="281"/>
      </w:pPr>
      <w:r>
        <w:rPr>
          <w:b/>
        </w:rPr>
        <w:t xml:space="preserve">Quan điểm  </w:t>
      </w:r>
    </w:p>
    <w:p w:rsidR="00FA7C47" w:rsidRDefault="00F850F3">
      <w:pPr>
        <w:numPr>
          <w:ilvl w:val="0"/>
          <w:numId w:val="3"/>
        </w:numPr>
        <w:ind w:right="473"/>
      </w:pPr>
      <w:r>
        <w:t>BVMT phải đ</w:t>
      </w:r>
      <w:r>
        <w:t xml:space="preserve">ược đặt ở vị trí trung tâm của các quyết định phát triển; môi trường không chỉ là không gian sinh tồn của con người, mà còn là điều kiện, nền tảng, yếu tố tiên quyết cho phát triển kinh tế - xã hội bền vững. Không đánh đổi môi trường lấy tăng trưởng kinh </w:t>
      </w:r>
      <w:r>
        <w:t xml:space="preserve">tế; thực hiện sàng lọc, lựa chọn đầu tư phát triển dựa trên các tiêu chí về môi trường. Bảo đảm hài hòa lợi ích, tạo động lực khuyến khích các bên liên quan tham gia công tác BVMT; </w:t>
      </w:r>
    </w:p>
    <w:p w:rsidR="00FA7C47" w:rsidRDefault="00F850F3">
      <w:pPr>
        <w:numPr>
          <w:ilvl w:val="0"/>
          <w:numId w:val="3"/>
        </w:numPr>
        <w:ind w:right="473"/>
      </w:pPr>
      <w:r>
        <w:t>BVMT phải lấy bảo vệ sức khỏe Nhân dân làm mục tiêu hàng đầu, bảo đảm mọ</w:t>
      </w:r>
      <w:r>
        <w:t xml:space="preserve">i người dân đều có quyền được sống trong môi trường trong lành; dựa trên cơ sở phòng ngừa là chính, kết hợp với khắc phục ô nhiễm, suy thoái và cải thiện chất lượng môi trường; </w:t>
      </w:r>
    </w:p>
    <w:p w:rsidR="00FA7C47" w:rsidRDefault="00F850F3">
      <w:pPr>
        <w:numPr>
          <w:ilvl w:val="0"/>
          <w:numId w:val="3"/>
        </w:numPr>
        <w:ind w:right="473"/>
      </w:pPr>
      <w:r>
        <w:t>Với vai trò là một đạo luật cơ bản về BVMT, Luật BVMT phải đảm bảo được tín</w:t>
      </w:r>
      <w:r>
        <w:t xml:space="preserve">h toàn diện, đồng bộ, thống nhất, khắc phục được sự phân tán, tạo nền tảng pháp lý vững chắc cho việc định hình chuyển đổi các mô hình kinh tế theo hướng bền vững;  </w:t>
      </w:r>
    </w:p>
    <w:p w:rsidR="00FA7C47" w:rsidRDefault="00F850F3">
      <w:pPr>
        <w:numPr>
          <w:ilvl w:val="0"/>
          <w:numId w:val="3"/>
        </w:numPr>
        <w:spacing w:after="156"/>
        <w:ind w:right="473"/>
      </w:pPr>
      <w:r>
        <w:t>Tạo cơ sở pháp lý thực hiện các cam kết quốc tế, trách nhiệm được quy định trong các hiệ</w:t>
      </w:r>
      <w:r>
        <w:t xml:space="preserve">p định thương mại tự do thế hệ mới. </w:t>
      </w:r>
    </w:p>
    <w:p w:rsidR="00FA7C47" w:rsidRDefault="00F850F3">
      <w:pPr>
        <w:spacing w:after="72" w:line="270" w:lineRule="auto"/>
        <w:ind w:left="1244" w:right="477" w:firstLine="0"/>
      </w:pPr>
      <w:r>
        <w:rPr>
          <w:b/>
        </w:rPr>
        <w:t xml:space="preserve">II. QUÁ TRÌNH XÂY DỰNG </w:t>
      </w:r>
    </w:p>
    <w:p w:rsidR="00FA7C47" w:rsidRDefault="00F850F3">
      <w:pPr>
        <w:spacing w:after="10"/>
        <w:ind w:left="509" w:right="473"/>
      </w:pPr>
      <w:r>
        <w:t>Theo Nghị quyết số 78/2019/QH14 ngày 11/6/2019 của Quốc hội, dự án Luật được đưa vào Chương trình xây dựng luật, pháp lệnh năm 2020, điều chỉnh Chương trình xây dựng luật, pháp lệnh năm 2019, tr</w:t>
      </w:r>
      <w:r>
        <w:t xml:space="preserve">ình Quốc hội cho ý kiến tại </w:t>
      </w:r>
    </w:p>
    <w:p w:rsidR="00FA7C47" w:rsidRDefault="00F850F3">
      <w:pPr>
        <w:spacing w:after="155"/>
        <w:ind w:left="509" w:right="473" w:firstLine="0"/>
      </w:pPr>
      <w:r>
        <w:t>Kỳ họp thứ 9 và thông qua tại Kỳ họp thứ 10. Thủ tướng Chính phủ đã giao Bộ TN&amp;MT tổ chức xây dựng dự án Luật theo đúng quy định của Luật ban hành văn bản quy phạm pháp luật. Quá trình xây dựng dự án Luật gồm các hoạt động chí</w:t>
      </w:r>
      <w:r>
        <w:t xml:space="preserve">nh sau đây: </w:t>
      </w:r>
    </w:p>
    <w:p w:rsidR="00FA7C47" w:rsidRDefault="00F850F3">
      <w:pPr>
        <w:numPr>
          <w:ilvl w:val="0"/>
          <w:numId w:val="4"/>
        </w:numPr>
        <w:spacing w:after="0"/>
        <w:ind w:right="473"/>
      </w:pPr>
      <w:r>
        <w:t>Đánh giá tình hình thực hiện Luật BVMT 2014, tập trung vào những kết quả đạt được, những vấn đề khó khăn, hạn chế của Luật BVMT 2014 để xác định những nội dung cần tiếp tục hoàn thiện. Rà soát các chủ trương, chính sách của Đảng và Nhà nước li</w:t>
      </w:r>
      <w:r>
        <w:t xml:space="preserve">ên quan đến BVMT, phát triển bền vững được ban hành trong thời gian gần đây để cập nhật, thể chế hóa. Tổng hợp các vấn đề, yêu cầu, chính sách liên quan đến môi trường trong các cam kết, điều ước quốc tế mà </w:t>
      </w:r>
    </w:p>
    <w:p w:rsidR="00FA7C47" w:rsidRDefault="00F850F3">
      <w:pPr>
        <w:spacing w:after="152"/>
        <w:ind w:left="509" w:right="473" w:firstLine="0"/>
      </w:pPr>
      <w:r>
        <w:t xml:space="preserve">Việt Nam tham gia nhằm xác định các vấn đề cần quan tâm, bổ sung trong dự án Luật để bảo đảm đáp ứng các cam kết, điều ước quốc tế này.  </w:t>
      </w:r>
    </w:p>
    <w:p w:rsidR="00FA7C47" w:rsidRDefault="00F850F3">
      <w:pPr>
        <w:numPr>
          <w:ilvl w:val="0"/>
          <w:numId w:val="4"/>
        </w:numPr>
        <w:spacing w:after="157"/>
        <w:ind w:right="473"/>
      </w:pPr>
      <w:r>
        <w:t>Tổ chức rà soát, tổng hợp các tồn tại, bất cập trong công tác BVMT trên thực tế; khó khăn, vướng mắc của các bộ, ngà</w:t>
      </w:r>
      <w:r>
        <w:t xml:space="preserve">nh, địa phương, doanh nghiệp và người dân kiến nghị trong quá trình thực thi các quy định về BVMT nhằm xem xét các vấn đề cần bổ sung, sửa đổi, giải quyết trong Luật BVMT 2014. </w:t>
      </w:r>
    </w:p>
    <w:p w:rsidR="00FA7C47" w:rsidRDefault="00F850F3">
      <w:pPr>
        <w:numPr>
          <w:ilvl w:val="0"/>
          <w:numId w:val="4"/>
        </w:numPr>
        <w:spacing w:after="150"/>
        <w:ind w:right="473"/>
      </w:pPr>
      <w:r>
        <w:t xml:space="preserve">Tổ chức nghiên cứu kinh nghiệm pháp luật về BVMT của hơn 10 quốc gia (bao gồm: Mỹ, Úc, Pháp, Đức, Hàn Quốc, Nhật Bản, Ấn Độ, Singapore, Thái Lan, Malaysia, v.v), đặc biệt là nghiên cứu sâu kinh nghiệm của Hàn Quốc vì có nhiều điểm tương đồng với Việt Nam. </w:t>
      </w:r>
    </w:p>
    <w:p w:rsidR="00FA7C47" w:rsidRDefault="00F850F3">
      <w:pPr>
        <w:numPr>
          <w:ilvl w:val="0"/>
          <w:numId w:val="4"/>
        </w:numPr>
        <w:spacing w:after="147"/>
        <w:ind w:right="473"/>
      </w:pPr>
      <w:r>
        <w:t>Trong quá trình thực hiện, Bộ TN&amp;MT với vai trò Cơ quan soạn thảo đã tổ chức nhiều phiên họp Ban soạn thảo, Tổ biên tập, các nhóm chuyên gia; tổ chức hơn 40 cuộc tọa đàm, hội thảo chuyên đề với sự tham gia của đại diện nhiều bộ, ngành, địa phương, chuyên</w:t>
      </w:r>
      <w:r>
        <w:t xml:space="preserve"> gia trong nước, các tổ chức quốc tế để tham vấn ý kiến đối với dự thảo Luật; đã gửi văn bản lấy ý kiến chính thức của các Bộ ngành, 63 địa phương, một số doanh nghiệp, tổ chức, hội nghề nghiệp; tham vấn các đại biểu Quốc hội, Phòng Thương mại và Công ngh</w:t>
      </w:r>
      <w:r>
        <w:t>iệp Việt Nam. Dự thảo Luật đã được đăng tải trên Cổng thông tin điện của Chính phủ, Cổng thông tin điện tử của Bộ Tài nguyên và Môi trường để lấy ý kiến đóng góp rộng rãi của Nhân dân, các tổ chức, cá nhân, đối tượng chịu sự tác động, các chuyên gia, nhà k</w:t>
      </w:r>
      <w:r>
        <w:t xml:space="preserve">hoa học trong nước và quốc tế. </w:t>
      </w:r>
    </w:p>
    <w:p w:rsidR="00FA7C47" w:rsidRDefault="00F850F3">
      <w:pPr>
        <w:numPr>
          <w:ilvl w:val="0"/>
          <w:numId w:val="4"/>
        </w:numPr>
        <w:spacing w:after="146"/>
        <w:ind w:right="473"/>
      </w:pPr>
      <w:r>
        <w:t>Sau khi hồ sơ dự án Luật được chỉnh sửa theo ý kiến thẩm định của Bộ Tư pháp, ngày 03/3/2020, Chính phủ đã họp cho ý kiến về nội dung của dự án Luật tại phiên họp thường kỳ tháng 02 năm 2020. Trên cơ sở tiếp thu ý kiến của c</w:t>
      </w:r>
      <w:r>
        <w:t xml:space="preserve">ác thành viên Chính phủ, Chính phủ đã hoàn thiện dự án Luật trình Quốc hội. </w:t>
      </w:r>
    </w:p>
    <w:p w:rsidR="00FA7C47" w:rsidRDefault="00F850F3">
      <w:pPr>
        <w:numPr>
          <w:ilvl w:val="0"/>
          <w:numId w:val="4"/>
        </w:numPr>
        <w:ind w:right="473"/>
      </w:pPr>
      <w:r>
        <w:t>Sau khi có ý kiến kết luận của Ủy ban thường vụ Quốc hội, ý kiến thẩm tra của Ủy ban Khoa học, Công nghệ và Môi trường của Quốc hội, Bộ TN&amp;MT đã tiếp tục hoàn thiện dự án Luật, là</w:t>
      </w:r>
      <w:r>
        <w:t xml:space="preserve">m việc trực tuyến và tiếp tục lấy ý kiến chính thức bằng văn bản các Bộ, ngành; tổ chức Hội nghị trực tuyến lấy ý kiến của 63 tỉnh, thành phố; tổ chức tham vấn thêm các chuyên gia trong và ngoài nước. Ngày 21/5/2020, Lãnh đạo Chính phủ đã họp với các bộ, </w:t>
      </w:r>
      <w:r>
        <w:t xml:space="preserve">ngành có liên quan để thảo luận, thống nhất các nội dung và cho ý kiến chỉ đạo chỉnh lý. Ngày 23/5/2020, Chính phủ đã trình Quốc hội hồ sơ dự án Luật. </w:t>
      </w:r>
    </w:p>
    <w:p w:rsidR="00FA7C47" w:rsidRDefault="00F850F3">
      <w:pPr>
        <w:numPr>
          <w:ilvl w:val="0"/>
          <w:numId w:val="4"/>
        </w:numPr>
        <w:spacing w:after="159"/>
        <w:ind w:right="473"/>
      </w:pPr>
      <w:r>
        <w:t>Sau khi được Quốc hội cho ý kiến tại kỳ họp thứ 9, Bộ TN&amp;MT đã phối hợp chặt chẽ với các cơ quan của Quố</w:t>
      </w:r>
      <w:r>
        <w:t>c hội, các Bộ, ngành tiếp tục nghiên cứu, tiếp thu ý kiến của các vị Đại biểu Quốc hội để chỉnh lý, hoàn thiện dự án Luật. Đến ngày 17/11/2020, Quốc hội đã thông qua Luật Bảo vệ môi trường số 72/2020/QH14 với tỷ lệ tán thành là 91,91%. Ngày 30/11/2020, Chủ</w:t>
      </w:r>
      <w:r>
        <w:t xml:space="preserve"> tịch nước đã ký Lệnh số 17/2020/L-CTN về việc công bố Luật. </w:t>
      </w:r>
    </w:p>
    <w:p w:rsidR="00FA7C47" w:rsidRDefault="00F850F3">
      <w:pPr>
        <w:spacing w:after="72" w:line="270" w:lineRule="auto"/>
        <w:ind w:left="1244" w:right="477" w:firstLine="0"/>
      </w:pPr>
      <w:r>
        <w:rPr>
          <w:b/>
        </w:rPr>
        <w:t xml:space="preserve">III. MỘT SỐ ĐIỂM MỚI CỦA LUẬT BVMT NĂM 2020 </w:t>
      </w:r>
    </w:p>
    <w:p w:rsidR="00FA7C47" w:rsidRDefault="00F850F3">
      <w:pPr>
        <w:spacing w:after="150" w:line="260" w:lineRule="auto"/>
        <w:ind w:right="481" w:firstLine="720"/>
      </w:pPr>
      <w:r>
        <w:rPr>
          <w:i/>
        </w:rPr>
        <w:t>Luật BVMT 2020 đã phát huy vai trò của người dân, doanh nghiệp và cả hệ thống chính trị trong việc tham gia vào các hoạt động BVMT, từ hoạch định c</w:t>
      </w:r>
      <w:r>
        <w:rPr>
          <w:i/>
        </w:rPr>
        <w:t>hính sách đến tổ chức, giám sát thực hiện, trong đó doanh nghiệp, người dân phải đóng vai trò trung tâm; Nhà nước đóng vai trò kiến tạo</w:t>
      </w:r>
      <w:r>
        <w:t xml:space="preserve"> </w:t>
      </w:r>
      <w:r>
        <w:rPr>
          <w:i/>
        </w:rPr>
        <w:t>pháp luật, cơ chế, chính sách về BVMT. Luật với nhiều quy định nhằm cải cách mạnh mẽ thủ tục hành chính (TTHC), góp phần</w:t>
      </w:r>
      <w:r>
        <w:rPr>
          <w:i/>
        </w:rPr>
        <w:t xml:space="preserve"> giảm chi phí tuân thủ của doanh nghiệp thông qua các quy định: thu hẹp đối tượng phải thực hiện đánh giá tác động môi trường (ĐTM); tích hợp các TTHC vào 01 giấy phép môi trường (GPMT); đồng bộ các công cụ quản lý môi trường theo từng giai đoạn của dự án,</w:t>
      </w:r>
      <w:r>
        <w:rPr>
          <w:i/>
        </w:rPr>
        <w:t xml:space="preserve"> bắt đầu từ khâu xem xét chủ trương đầu tư, thẩm định dự án, thực hiện dự án cho đến khi dự án đi vào vận hành chính thức và kết thúc dự án. Luật cũng đã thiết kế khung chính sách hướng đến việc hình thành đạo luật về BVMT có tính tổng thể, toàn diện và hà</w:t>
      </w:r>
      <w:r>
        <w:rPr>
          <w:i/>
        </w:rPr>
        <w:t xml:space="preserve">i hòa với hệ thống pháp luật về kinh tế-xã hội. Một số điểm mới là: </w:t>
      </w:r>
    </w:p>
    <w:p w:rsidR="00FA7C47" w:rsidRDefault="00F850F3">
      <w:pPr>
        <w:spacing w:after="72" w:line="270" w:lineRule="auto"/>
        <w:ind w:left="509" w:right="477"/>
      </w:pPr>
      <w:r>
        <w:rPr>
          <w:b/>
        </w:rPr>
        <w:t>1. Cộng đồng dân cư được quy định là một chủ thể trong công tác BVMT; tăng cường công khai thông tin, tham vấn, phát huy vai trò giám sát, phản biện, đồng thời được bảo đảm quyền và lợi í</w:t>
      </w:r>
      <w:r>
        <w:rPr>
          <w:b/>
        </w:rPr>
        <w:t xml:space="preserve">ch của cộng đồng dân cư khi tham gia các hoạt động BVMT  </w:t>
      </w:r>
    </w:p>
    <w:p w:rsidR="00FA7C47" w:rsidRDefault="00F850F3">
      <w:pPr>
        <w:ind w:left="509" w:right="473"/>
      </w:pPr>
      <w:r>
        <w:t>Thời gian qua, cộng đồng dân cư đã thể hiện vai trò ngày càng quan trọng trong công tác BVMT, tiêu biểu nhất là thông qua việc hình thành các mô hình cộng đồng tham gia BVMT hiệu quả. Sự tham gia c</w:t>
      </w:r>
      <w:r>
        <w:t xml:space="preserve">ủa cộng đồng dân cư trong việc thu thập, cung cấp thông tin về BVMT; tham gia đánh giá kết quả bảo vệ môi trường của doanh nghiệp. </w:t>
      </w:r>
    </w:p>
    <w:p w:rsidR="00FA7C47" w:rsidRDefault="00F850F3">
      <w:pPr>
        <w:ind w:left="509" w:right="473"/>
      </w:pPr>
      <w:r>
        <w:t xml:space="preserve">Tuy nhiên, Luật BVMT 2014 chưa quy định cộng đồng dân cư là một chủ thể trong công tác BVMT, vì vậy chưa đẩy mạnh, phát huy </w:t>
      </w:r>
      <w:r>
        <w:t>được vai trò quan trọng của cộng đồng dân cư trong công tác BVMT. Luật BVMT 2020 đã bổ sung “cộng đồng dân cư” vào phạm vi điều chỉnh và đối tượng áp dụng nhằm khẳng định vị trí, vai trò của nhóm đối tượng quan trọng này trong công tác BVMT cũng như th</w:t>
      </w:r>
      <w:r>
        <w:t xml:space="preserve">ực hiện một trong những mục tiêu xuyên suốt của Luật là bảo vệ sức khỏe người dân, đảm bảo người dân được sống trong môi trường trong lành.  </w:t>
      </w:r>
    </w:p>
    <w:p w:rsidR="00FA7C47" w:rsidRDefault="00F850F3">
      <w:pPr>
        <w:spacing w:after="158"/>
        <w:ind w:left="509" w:right="473"/>
      </w:pPr>
      <w:r>
        <w:t>Nhằm tạo thuận lợi cho cộng đồng dân cư phát huy được vai trò của mình trong công tác BVMT, Luật đã bổ sung quy định thiết lập hệ thống trực tuyến tiếp nhận, xử lý, trả lời phản ánh, kiến nghị, tham vấn của tổ chức, cá nhân và cộng đồng dân cư về BVMT, q</w:t>
      </w:r>
      <w:r>
        <w:t xml:space="preserve">ua đó giúp cộng đồng dân cư có thể tham gia giám sát hoạt động BVMT thông qua công nghệ thông tin, tương tác các ứng dụng thông minh trên điện thoại di động.  </w:t>
      </w:r>
    </w:p>
    <w:p w:rsidR="00FA7C47" w:rsidRDefault="00F850F3">
      <w:pPr>
        <w:ind w:left="509" w:right="473"/>
      </w:pPr>
      <w:r>
        <w:t>Để cộng đồng dân cư tham gia hiệu quả vào các hoạt động BVMT thì thông tin đóng vai trò quan t</w:t>
      </w:r>
      <w:r>
        <w:t>rọng. Trong Luật BVMT 2020, vấn đề công khai thông tin đã được quy định xuyên suốt, thống nhất theo các nội dung cụ thể về BVMT, cùng với một khoản riêng quy định việc cung cấp, công khai thông tin về môi trường. Cụ thể, Luật đã bổ sung nguyên tắc hoạt độ</w:t>
      </w:r>
      <w:r>
        <w:t>ng BVMT phải được công khai, minh bạch; quy định rõ trách nhiệm công khai thông tin liên quan đến chất lượng môi trường không khí, chất lượng môi trường đất, chất thải nguy hại, kết quả quan trắc chất thải; chủ trương của Nhà nước là khuyến khích tổ chức,</w:t>
      </w:r>
      <w:r>
        <w:t xml:space="preserve"> cá nhân tham gia đóng góp, cung cấp thông tin về môi trường; trách nhiệm của Bộ, cơ quan ngang bộ, Ủy ban nhân dân cấp tỉnh và của chủ dự án, cơ sở sản xuất, kinh doanh, khu sản xuất, kinh doanh tập trung, cụm công nghiệp trong việc cung cấp, công khai th</w:t>
      </w:r>
      <w:r>
        <w:t xml:space="preserve">ông tin về môi trường. Luật đã dành một Điều quy định công khai thông tin và sự tham gia của cộng đồng trong phòng ngừa, ứng phó sự cố môi trường. </w:t>
      </w:r>
    </w:p>
    <w:p w:rsidR="00FA7C47" w:rsidRDefault="00F850F3">
      <w:pPr>
        <w:ind w:left="509" w:right="473"/>
      </w:pPr>
      <w:r>
        <w:t>Việc công khai danh sách hội đồng thẩm định báo cáo ĐTM lần đầu tiên được quy định. Việc công bố, công khai</w:t>
      </w:r>
      <w:r>
        <w:t xml:space="preserve"> quyết định phê duyệt kết quả thẩm định báo cáo ĐTM của cơ quan thẩm định, công khai báo cáo ĐTM sau khi được phê duyệt kết quả thẩm định của chủ dự án, nội dung báo cáo đề xuất cấp GPMT, trừ thông tin liên quan đến bí mật nhà nước, bí mật của doanh nghiệp</w:t>
      </w:r>
      <w:r>
        <w:t xml:space="preserve"> theo quy định của pháp luật để lấy ý kiến của các bên liên quan cũng đã được quy định cụ thể trong Luật. Hình thức công khai được thực hiện thông qua cổng thông tin của cơ quan, tổ chức, trên các phương tiện thông tin đại chúng hoặc các hình thức khác, </w:t>
      </w:r>
      <w:r>
        <w:t xml:space="preserve">bảo đảm thuận tiện cho những đối tượng có liên quan tiếp nhận thông tin; giao Chính phủ quy định chi tiết nội dung và việc quản lý thông tin về môi trường; trình tự, thủ tục, thời điểm và hình thức cung cấp, công khai thông tin về môi trường. </w:t>
      </w:r>
    </w:p>
    <w:p w:rsidR="00FA7C47" w:rsidRDefault="00F850F3">
      <w:pPr>
        <w:spacing w:after="0" w:line="259" w:lineRule="auto"/>
        <w:ind w:left="0" w:right="483" w:firstLine="0"/>
        <w:jc w:val="right"/>
      </w:pPr>
      <w:r>
        <w:t>Bênh cạnh đó</w:t>
      </w:r>
      <w:r>
        <w:t xml:space="preserve">, trách nhiệm của chủ dự án trong việc tham vấn cộng đồng </w:t>
      </w:r>
    </w:p>
    <w:p w:rsidR="00FA7C47" w:rsidRDefault="00F850F3">
      <w:pPr>
        <w:ind w:left="509" w:right="473" w:firstLine="0"/>
      </w:pPr>
      <w:r>
        <w:t>dân cư, được quy định ngay từ khi lập báo cáo ĐTM. Trong đó, đã quy định rõ trách nhiệm thực hiện tham vấn, đối tượng tham vấn, nội dung tham vấn chủ yếu, hình thức tham vấn trong quá trình thực hi</w:t>
      </w:r>
      <w:r>
        <w:t xml:space="preserve">ện ĐTM; kết quả tham vấn cộng đồng dân cư, cơ quan, tổ chức liên quan là thông tin quan trọng để chủ dự án nghiên cứu đưa ra giải pháp giảm thiểu tác động của dự án đối với môi trường và hoàn thiện báo cáo ĐTM của dự án.  </w:t>
      </w:r>
    </w:p>
    <w:p w:rsidR="00FA7C47" w:rsidRDefault="00F850F3">
      <w:pPr>
        <w:spacing w:after="72" w:line="270" w:lineRule="auto"/>
        <w:ind w:left="509" w:right="477"/>
      </w:pPr>
      <w:r>
        <w:rPr>
          <w:b/>
        </w:rPr>
        <w:t>2. Thay đổi phương thức quản lý m</w:t>
      </w:r>
      <w:r>
        <w:rPr>
          <w:b/>
        </w:rPr>
        <w:t xml:space="preserve">ôi trường đối với dự án đầu tư theo các tiêu chí môi trường; kiểm soát chặt chẽ dự án có nguy cơ tác động xấu đến môi trường mức độ cao, thực hiện hậu kiểm đối với các dự án có công nghệ tiên tiến và thân thiện môi trường; cắt giảm thủ tục hành chính  </w:t>
      </w:r>
    </w:p>
    <w:p w:rsidR="00FA7C47" w:rsidRDefault="00F850F3">
      <w:pPr>
        <w:ind w:left="509" w:right="473"/>
      </w:pPr>
      <w:r>
        <w:t>Luậ</w:t>
      </w:r>
      <w:r>
        <w:t>t BVMT 2020 đã thể hiện sự thay đổi mạnh mẽ trong tư duy quản lý môi trường thông qua thể chế hóa chính sách phát triển dựa trên quy luật tự nhiên, không hy sinh môi trường để đổi lấy tăng trưởng kinh tế; BVMT không chỉ là phòng ngừa, kiểm soát, xử lý chấ</w:t>
      </w:r>
      <w:r>
        <w:t>t thải; các hoạt động sản xuất, phát triển phải hài hòa với tự nhiên, khuyến khích bảo vệ và phát triển tự nhiên. Đồng thời, Luật cũng đặt ra các tiêu chuẩn, quy chuẩn môi trường nhằm thực hiện mục tiêu bảo đảm người dân Việt Nam được hưởng chất lượng m</w:t>
      </w:r>
      <w:r>
        <w:t xml:space="preserve">ôi trường ngang bằng với các nước trên thế giới và cũng hài hòa với quy định của quốc tế để góp phần thực hiện các cam kết quốc tế của Việt Nam về BVMT, ứng phó với biến đổi khí hậu. </w:t>
      </w:r>
    </w:p>
    <w:p w:rsidR="00FA7C47" w:rsidRDefault="00F850F3">
      <w:pPr>
        <w:ind w:left="509" w:right="473"/>
      </w:pPr>
      <w:r>
        <w:t xml:space="preserve">Luật đã tiếp cận phương pháp quản lý môi trường xuyên suốt, khoa học </w:t>
      </w:r>
      <w:r>
        <w:t>đối với dự án đầu tư dựa trên các tiêu chí môi trường; sàng lọc, không khuyến khích các dự án không tuân theo quy luật tự nhiên, chiếm dụng lớn diện tích rừng, đất lúa, tác động đến các di sản thiên nhiên, khu bảo tồn; áp dụng công cụ quản lý môi trường p</w:t>
      </w:r>
      <w:r>
        <w:t xml:space="preserve">hù hợp theo từng giai đoạn từ việc xây dựng chiến lược, quy hoạch đến thực hiện dự án đầu tư. Theo đó dự án đầu tư được phân thành 04 nhóm: có nguy cơ tác động xấu đến môi trường mức độ cao, có nguy cơ, ít có nguy cơ hoặc không có nguy cơ tác động xấu đến </w:t>
      </w:r>
      <w:r>
        <w:t xml:space="preserve">môi trường. Tương ứng với từng đối tượng dự án cụ thể, cơ quan quản lý nhà nước về môi trường sẽ áp dụng các cơ chế quản lý phù hợp, cụ thể là: </w:t>
      </w:r>
    </w:p>
    <w:p w:rsidR="00FA7C47" w:rsidRDefault="00F850F3">
      <w:pPr>
        <w:ind w:left="509" w:right="473"/>
      </w:pPr>
      <w:r>
        <w:t>+ Quy định chỉ đối tượng có nguy cơ tác động xấu đến môi trường mức độ cao (Nhóm I) mới phải đánh giá sơ bộ tác</w:t>
      </w:r>
      <w:r>
        <w:t xml:space="preserve"> động môi trường. Quy định này nhằm khắc phục các hạn chế, bất cập của pháp luật hiện hành, gồm: Giảm TTHC cho nhiều nhà đầu tư, theo đó các dự án không thuộc Nhóm I sẽ không phải đánh giá sơ bộ tác động môi trường nhằm tiết kiệm được thời gian và chi p</w:t>
      </w:r>
      <w:r>
        <w:t xml:space="preserve">hí. </w:t>
      </w:r>
    </w:p>
    <w:p w:rsidR="00FA7C47" w:rsidRDefault="00F850F3">
      <w:pPr>
        <w:ind w:left="509" w:right="473"/>
      </w:pPr>
      <w:r>
        <w:t>+ Áp dụng đầy đủ các công cụ môi trường để quản lý, sàng lọc dự án đầu tư có nguy cơ tác động xấu đến môi trường mức độ cao (đánh giá sơ bộ tác động môi trường, ĐTM, cấp GPMT nếu phát sinh chất thải); đối với các dự án áp dụng công nghệ tiên tiến và t</w:t>
      </w:r>
      <w:r>
        <w:t>hân thiện môi trường được cấp GPMT ngay từ giai đoạn nghiên cứu khả thi và tổ chức hậu kiểm (thông qua thanh tra, kiểm tra) khi dự án đi vào hoạt động hoặc chỉ phải đăng ký môi trường (không phải là thủ tục hành chính, được thực hiện bằng hình thức trực t</w:t>
      </w:r>
      <w:r>
        <w:t xml:space="preserve">uyến, đơn giản) tại UBND cấp xã. Bên cạnh đó, Luật cũng cải cách mạnh mẽ TTHC thông qua việc tích hợp toàn bộ các giấy phép, giấy xác nhận về môi trường vào chung 01 GPMT và bãi bỏ các giấy phép có liên quan; </w:t>
      </w:r>
    </w:p>
    <w:p w:rsidR="00FA7C47" w:rsidRDefault="00F850F3">
      <w:pPr>
        <w:ind w:left="509" w:right="473"/>
      </w:pPr>
      <w:r>
        <w:t xml:space="preserve">+ Xác lập lại đúng vai trò hoạt động quan </w:t>
      </w:r>
      <w:r>
        <w:t>trắc chất thải của doanh nghiệp, Luật quy định các đối tượng xả nước thải, bụi, khí thải lớn ra môi trường phải quan trắc định kỳ; đối tượng phải quan trắc tự động, liên tục bao gồm các cơ sở thuộc loại hình có nguy cơ gây ô nhiễm môi trường với lưu lượ</w:t>
      </w:r>
      <w:r>
        <w:t>ng phát thải trung bình trở lên và cơ sở không thuộc loại hình có nguy cơ gây ô nhiễm môi trường với lưu lượng phát thải lớn, các khu, cụm công nghiệp. Đối tượng, thông số, tần suất quan trắc cụ thể sẽ do Chính phủ quy định để phù hợp với điều kiện phát t</w:t>
      </w:r>
      <w:r>
        <w:t xml:space="preserve">riển khoa học, công nghệ và yêu cầu BVMT trong từng thời kỳ. </w:t>
      </w:r>
    </w:p>
    <w:p w:rsidR="00FA7C47" w:rsidRDefault="00F850F3">
      <w:pPr>
        <w:numPr>
          <w:ilvl w:val="0"/>
          <w:numId w:val="5"/>
        </w:numPr>
        <w:spacing w:after="72" w:line="270" w:lineRule="auto"/>
        <w:ind w:right="477"/>
      </w:pPr>
      <w:r>
        <w:rPr>
          <w:b/>
        </w:rPr>
        <w:t xml:space="preserve">Đã định chế nội dung sức khỏe môi trường; bổ sung nhiều giải pháp bảo vệ các thành phần môi trường, đặc biệt là môi trường không khí, môi trường nước </w:t>
      </w:r>
    </w:p>
    <w:p w:rsidR="00FA7C47" w:rsidRDefault="00F850F3">
      <w:pPr>
        <w:ind w:left="509" w:right="473"/>
      </w:pPr>
      <w:r>
        <w:t>Để kiểm soát các yếu tố môi trường có tác đ</w:t>
      </w:r>
      <w:r>
        <w:t>ộng đến sức khỏe con người, Luật đã quy định nội dung quản lý các chất ô nhiễm có tác động trực tiếp đến sức khỏe con người; quy định rõ trách nhiệm của Bộ Y tế, các Bộ, cơ quan ngang bộ, UBND cấp tỉnh trong theo dõi, kiểm soát, phòng ngừa các chất ô nh</w:t>
      </w:r>
      <w:r>
        <w:t xml:space="preserve">iễm ảnh hưởng đến sức khỏe con người cũng như đánh giá mối quan hệ giữa sức khỏe môi trường với sức khỏe con người, đặc biệt là mối quan hệ giữa ô nhiễm môi trường với các loại bệnh dịch mới.  </w:t>
      </w:r>
    </w:p>
    <w:p w:rsidR="00FA7C47" w:rsidRDefault="00F850F3">
      <w:pPr>
        <w:ind w:left="509" w:right="473"/>
      </w:pPr>
      <w:r>
        <w:t xml:space="preserve">Để nâng cao hiệu quả việc giải quyết vấn đề ô nhiễm không </w:t>
      </w:r>
      <w:r>
        <w:t xml:space="preserve">khí và ô nhiễm môi trường nước mặt, Luật đã quy định việc lập và thực hiện kế hoạch quản lý chất lượng môi trường nước mặt, môi trường không khí nhằm nâng cao hiệu quả bảo vệ các thành phần môi trường. Luật quy định rõ trách nhiệm của UBND cấp tỉnh trong </w:t>
      </w:r>
      <w:r>
        <w:t xml:space="preserve">việc xây dựng, phê duyệt và tổ chức thực hiện kế hoạch quản lý chất lượng môi trường không khí; đánh giá, theo dõi chất lượng môi trường không khí và công khai thông tin; cảnh báo cho cộng đồng và triển khai các biện pháp xử lý trong trường hợp chất lượng </w:t>
      </w:r>
      <w:r>
        <w:t>môi trường không khí bị ô nhiễm; tổ chức thực hiện biện pháp khẩn cấp trong trường hợp chất lượng môi trường không khí bị ô nhiễm nghiêm trọng. Không chỉ được quy định ở các nội dung về bảo vệ chất lượng môi trường không khí, đất, nước, việc bảo vệ các thà</w:t>
      </w:r>
      <w:r>
        <w:t>nh phần môi trường này còn được thể hiện tại nhiều nội dung có liên quan trong Luật như các nội dung về quản lý nước thải, quản lý bụi, khí thải và các chất ô nhiễm khác cũng như các nội dung về quản lý chất thải rắn (sẽ góp phần giảm tác động đến môi t</w:t>
      </w:r>
      <w:r>
        <w:t xml:space="preserve">rường đất, nước và không khí), quan trắc các thành phần môi trường, vv. </w:t>
      </w:r>
    </w:p>
    <w:p w:rsidR="00FA7C47" w:rsidRDefault="00F850F3">
      <w:pPr>
        <w:numPr>
          <w:ilvl w:val="0"/>
          <w:numId w:val="5"/>
        </w:numPr>
        <w:spacing w:after="72" w:line="270" w:lineRule="auto"/>
        <w:ind w:right="477"/>
      </w:pPr>
      <w:r>
        <w:rPr>
          <w:b/>
        </w:rPr>
        <w:t xml:space="preserve">Thúc đẩy phân loại rác thải tại nguồn; định hướng cách thức quản lý, ứng xử với chất thải, góp phần thúc đẩy kinh tế tuần hoàn ở Việt Nam </w:t>
      </w:r>
    </w:p>
    <w:p w:rsidR="00FA7C47" w:rsidRDefault="00F850F3">
      <w:pPr>
        <w:ind w:left="509" w:right="473"/>
      </w:pPr>
      <w:r>
        <w:t>Hiện nay tỷ lệ chôn lấp rác thải ở Việt Nam</w:t>
      </w:r>
      <w:r>
        <w:t xml:space="preserve"> còn cao, một trong các nguyên nhân là do rác thải chưa được phân loại dẫn đến khó khăn trong xử lý. Để khắc phục tình trạng này, Luật BVMT 2020 đã quy định việc thu phí rác thải dựa trên khối lượng hoặc thể tích thay cho việc tính bình quân theo hộ gia </w:t>
      </w:r>
      <w:r>
        <w:t>đình hoặc đầu người như hiện nay. Cơ chế thu phí này sẽ góp phần thúc đẩy người dân phân loại, giảm thiểu rác thải phát sinh tại nguồn do nếu không thực hiện việc này thì chi phí xử lý rác thải phải nộp sẽ cao, thông qua quy định rác thải sinh hoạt phải đ</w:t>
      </w:r>
      <w:r>
        <w:t>ược phân làm 03 loại: (i) chất thải rắn có khả năng tái sử dụng, tái chế; (ii) chất thải thực phẩm; (iii) chất thải rắn sinh hoạt khác. Bộ TN&amp;MT đã nghiên cứu kỹ lưỡng mô hình và kinh nghiệm của các quốc gia trên thế giới hiện đang thực hiện rất thành cô</w:t>
      </w:r>
      <w:r>
        <w:t xml:space="preserve">ng việc thu phí xử lý rác thải qua hình thức bán bao bì, thiết bị đựng rác như Nhật Bản, Hàn Quốc và các quốc gia phát triển khác.  </w:t>
      </w:r>
    </w:p>
    <w:p w:rsidR="00FA7C47" w:rsidRDefault="00F850F3">
      <w:pPr>
        <w:spacing w:after="155"/>
        <w:ind w:left="509" w:right="473"/>
      </w:pPr>
      <w:r>
        <w:t>Để bảo đảm tính khả thi của cơ chế này, Luật đã đưa ra một số quy định như: (i) Căn cứ điều kiện kinh tế - xã hội của địa p</w:t>
      </w:r>
      <w:r>
        <w:t>hương, Ủy ban nhân dân cấp tỉnh quyết định việc phân loại cụ thể chất thải rắn sinh hoạt với thời hạn áp dụng chậm nhất là ngày 31/12/2024; (ii) Tại các điểm tập kết rác thải, nếu phát hiện việc phân loại không đúng quy định thì đơn vị thu gom, vận chuyể</w:t>
      </w:r>
      <w:r>
        <w:t xml:space="preserve">n có quyền từ chối thu gom, vận chuyển và thông báo cơ quan có thẩm quyền để kiểm tra, xác định hộ gia đình, cá nhân vi phạm và xử lý nghiêm (thông qua hệ thống camera giám sát); (iii) Mặt trận Tổ quốc Việt Nam, tổ chức chính trị - xã hội các cấp vận động </w:t>
      </w:r>
      <w:r>
        <w:t>cộng đồng dân cư, hộ gia đình, cá nhân thực hiện phân loại chất thải rắn sinh hoạt tại nguồn. Cộng đồng dân cư, tổ chức chính trị - xã hội có trách nhiệm giám sát việc phân loại chất thải rắn sinh hoạt của các hộ gia đình, cá nhân; (iv) Ủy ban nhân dân c</w:t>
      </w:r>
      <w:r>
        <w:t xml:space="preserve">ấp xã có trách nhiệm kiểm tra việc tuân thủ, xử lý hoặc chuyển cấp có thẩm quyền xử lý các hành vi vi phạm pháp luật về quản lý chất thải rắn sinh hoạt theo quy định.  </w:t>
      </w:r>
    </w:p>
    <w:p w:rsidR="00FA7C47" w:rsidRDefault="00F850F3">
      <w:pPr>
        <w:spacing w:after="158"/>
        <w:ind w:left="509" w:right="473"/>
      </w:pPr>
      <w:r>
        <w:t>Ngoài ra, rác thải sinh hoạt phát sinh từ hộ gia đình, cá nhân khu vực nông thôn sau k</w:t>
      </w:r>
      <w:r>
        <w:t xml:space="preserve">hi phân loại được khuyến khích tận dụng tối đa lượng chất thải thực phẩm làm phân bón hữu cơ, làm thức ăn chăn nuôi để phù hợp với điều kiện nông thôn tại Việt Nam. </w:t>
      </w:r>
    </w:p>
    <w:p w:rsidR="00FA7C47" w:rsidRDefault="00F850F3">
      <w:pPr>
        <w:spacing w:after="165"/>
        <w:ind w:left="509" w:right="473"/>
      </w:pPr>
      <w:r>
        <w:t>Nhằm hướng tới phát triển kinh tế tuần hoàn, tăng cường tái chế, tái sử dụng phế liệu trong nước để hạn chế việc nhập khẩu phế liệu làm nguyên liệu sản xuất, ngoài quy định trách nhiệm phân loại chất thải rắn công nghiệp phát sinh từ cơ sở sản xuất, kinh</w:t>
      </w:r>
      <w:r>
        <w:t xml:space="preserve"> doanh, dịch vụ thành các loại: (i) nhóm chất thải rắn công nghiệp thông thường được tái sử dụng, tái chế làm nguyên liệu sản xuất; (ii) nhóm chất thải rắn đáp ứng tiêu chuẩn, quy chuẩn, hướng dẫn kỹ thuật được sử dụng trong sản xuất vật liệu xây dựng và</w:t>
      </w:r>
      <w:r>
        <w:t xml:space="preserve"> san lấp mặt bằng; (iii) nhóm chất thải rắn công nghiệp thông thường phải xử lý, Luật đã quy định trách nhiệm mở rộng của tổ chức, cá nhân sản xuất, nhập khẩu các sản phẩm, bao bì có khả năng tái chế/khó có khả năng tái chế phải thu hồi với tỷ lệ và quy </w:t>
      </w:r>
      <w:r>
        <w:t xml:space="preserve">cách bắt buộc hoặc thông qua hợp đồng dịch vụ hoặc cơ chế đóng góp tài chính để hỗ trợ tái chế sản phẩm, bao bì do mình sản xuất, nhập khẩu. </w:t>
      </w:r>
    </w:p>
    <w:p w:rsidR="00FA7C47" w:rsidRDefault="00F850F3">
      <w:pPr>
        <w:numPr>
          <w:ilvl w:val="0"/>
          <w:numId w:val="6"/>
        </w:numPr>
        <w:spacing w:after="72" w:line="270" w:lineRule="auto"/>
        <w:ind w:right="477"/>
      </w:pPr>
      <w:r>
        <w:rPr>
          <w:b/>
        </w:rPr>
        <w:t>Chế định về thẩm quyền quản lý nhà nước dựa trên nguyên tắc quản lý tổng hợp, thống nhất, một việc chỉ giao cho m</w:t>
      </w:r>
      <w:r>
        <w:rPr>
          <w:b/>
        </w:rPr>
        <w:t xml:space="preserve">ột cơ quan chủ trì thực hiện; phân cấp triệt để cho địa phương </w:t>
      </w:r>
    </w:p>
    <w:p w:rsidR="00FA7C47" w:rsidRDefault="00F850F3">
      <w:pPr>
        <w:ind w:left="509" w:right="473"/>
      </w:pPr>
      <w:r>
        <w:t>Việc thực hiện song song thủ tục cấp giấy phép, giấy xác nhận về môi trường (do cơ quan quản lý nhà nước về BVMT thực hiện) với cấp phép xả nước thải vào công trình thủy lợi (do cơ quan quản l</w:t>
      </w:r>
      <w:r>
        <w:t xml:space="preserve">ý nhà nước về công trình thủy lợi thực hiện) trong thời gian qua đã bộc lộ nhiều bất cập, hạn chế, không bảo đảm nguyên tắc quản lý tổng hợp về tài nguyên nước. </w:t>
      </w:r>
    </w:p>
    <w:p w:rsidR="00FA7C47" w:rsidRDefault="00F850F3">
      <w:pPr>
        <w:ind w:left="509" w:right="473"/>
      </w:pPr>
      <w:r>
        <w:t>Để khắc phục vấn đề này, Luật BVMT 2020 đã bãi bỏ thủ tục cấp giấy phép xả nước thải vào ng</w:t>
      </w:r>
      <w:r>
        <w:t>uồn nước, xả nước thải vào công trình thủy lợi mà lồng ghép nội dung này trong GPMT nhằm thống nhất trách nhiệm, thẩm quyền và nguyên tắc quản lý tổng hợp tài nguyên nước; đồng thời giảm TTHC mạnh mẽ cho doanh nghiệp. Song song với chế định này, Luật cũ</w:t>
      </w:r>
      <w:r>
        <w:t>ng đã bổ sung trách nhiệm, thẩm quyền tham gia, phản biện và đồng thuận của cơ quan quản lý công trình thủy lợi ngay từ giai đoạn ĐTM cho đến khi cấp GPMT đối với cơ sở xả nước thải vào công trình thủy lợi nhằm tăng cường công tác phối hợp của các cơ quan</w:t>
      </w:r>
      <w:r>
        <w:t xml:space="preserve">. </w:t>
      </w:r>
    </w:p>
    <w:p w:rsidR="00FA7C47" w:rsidRDefault="00F850F3">
      <w:pPr>
        <w:spacing w:after="164"/>
        <w:ind w:left="509" w:right="473"/>
      </w:pPr>
      <w:r>
        <w:t>Luật đã phân cấp mạnh mẽ cho địa phương thông qua chế định giao UBND cấp tỉnh chủ trì, phối hợp với các bộ có liên quan thẩm định báo cáo ĐTM đối với các dự án thuộc thẩm quyền phê duyệt chủ trương đầu tư, quyết định đầu tư của các Bộ quản lý công trình</w:t>
      </w:r>
      <w:r>
        <w:t xml:space="preserve"> xây dựng chuyên ngành (quy định hiện hành phân cấp các Bộ, ngành đều có thể thẩm định báo cáo ĐTM) đồng thời quy định các bộ có liên quan có trách nhiệm phối hợp với Ủy ban nhân dân cấp tỉnh trong quá trình thực hiện nhằm bảo đảm hiệu quả. Quy định này s</w:t>
      </w:r>
      <w:r>
        <w:t xml:space="preserve">ẽ bảo đảm quản lý thống nhất tại địa phương, thuận lợi cho công tác kiểm tra, giám sát, cấp phép sau này và phù hợp với xu hướng phân cấp cho địa phương như hệ thống pháp luật hiện hành. </w:t>
      </w:r>
    </w:p>
    <w:p w:rsidR="00FA7C47" w:rsidRDefault="00F850F3">
      <w:pPr>
        <w:numPr>
          <w:ilvl w:val="0"/>
          <w:numId w:val="6"/>
        </w:numPr>
        <w:spacing w:after="72" w:line="270" w:lineRule="auto"/>
        <w:ind w:right="477"/>
      </w:pPr>
      <w:r>
        <w:rPr>
          <w:b/>
        </w:rPr>
        <w:t>Quy định cụ thể về kiểm toán môi trường nhằm tăng cường năng lực, hi</w:t>
      </w:r>
      <w:r>
        <w:rPr>
          <w:b/>
        </w:rPr>
        <w:t xml:space="preserve">ệu quả quản lý môi trường của doanh nghiệp </w:t>
      </w:r>
    </w:p>
    <w:p w:rsidR="00FA7C47" w:rsidRDefault="00F850F3">
      <w:pPr>
        <w:ind w:left="509" w:right="473"/>
      </w:pPr>
      <w:r>
        <w:t xml:space="preserve">Tiếp thu kinh nghiệm thành công của quốc tế về kiểm toán môi trường được áp dụng đối với các doanh nghiệp, cơ sở sản xuất nhằm đánh giá mức độ hiệu quả sử dụng tiết kiệm tài nguyên, quản lý chất thải, kiểm soát </w:t>
      </w:r>
      <w:r>
        <w:t xml:space="preserve">ô nhiễm và BVMT, Luật BVMT 2020 đã bổ sung nội dung về kiểm toán môi trường nhằm điều chỉnh hoạt động kiểm toán trong nội bộ tổ chức, cơ sở sản xuất, kinh doanh, dịch vụ do đơn vị tự thực hiện hoặc thông qua dịch vụ kiểm toán.  </w:t>
      </w:r>
    </w:p>
    <w:p w:rsidR="00FA7C47" w:rsidRDefault="00F850F3">
      <w:pPr>
        <w:spacing w:after="169"/>
        <w:ind w:left="509" w:right="473"/>
      </w:pPr>
      <w:r>
        <w:t>Mục đích của hoạt động này</w:t>
      </w:r>
      <w:r>
        <w:t xml:space="preserve"> nhằm tăng cường năng lực quản lý môi trường của doanh nghiệp, giúp doanh nghiệp nhận biết lỗ hổng trong quản lý môi trường và có giải pháp điều chỉnh hoạt động quản lý môi trường được hiệu quả hơn. Luật cũng đã bổ sung quy định Kiểm toán nhà nước thực </w:t>
      </w:r>
      <w:r>
        <w:t xml:space="preserve">hiện kiểm toán trong lĩnh vực môi trường theo quy định của Luật Kiểm toán nhà nước và pháp luật có liên quan. </w:t>
      </w:r>
    </w:p>
    <w:p w:rsidR="00FA7C47" w:rsidRDefault="00F850F3">
      <w:pPr>
        <w:numPr>
          <w:ilvl w:val="0"/>
          <w:numId w:val="6"/>
        </w:numPr>
        <w:spacing w:after="72" w:line="270" w:lineRule="auto"/>
        <w:ind w:right="477"/>
      </w:pPr>
      <w:r>
        <w:rPr>
          <w:b/>
        </w:rPr>
        <w:t xml:space="preserve">Cụ thể hóa các quy định về ứng phó BĐKH, thúc đẩy phát triển thị trường các-bon trong nước </w:t>
      </w:r>
    </w:p>
    <w:p w:rsidR="00FA7C47" w:rsidRDefault="00F850F3">
      <w:pPr>
        <w:spacing w:after="158"/>
        <w:ind w:left="509" w:right="473"/>
      </w:pPr>
      <w:r>
        <w:t>Luật BVMT 2020 đã bổ sung các quy định về thích ứng v</w:t>
      </w:r>
      <w:r>
        <w:t xml:space="preserve">ới BĐKH, giảm nhẹ phát thải khí nhà kính, bảo vệ tầng ô-dôn, trong đó xác định nội dung và trách nhiệm của Bộ TN&amp;MT, các Bộ, ngành liên quan và địa phương về thích ứng với BĐKH và giảm nhẹ phát thải khí nhà kính; bổ sung quy định về lồng ghép nội dung ứng </w:t>
      </w:r>
      <w:r>
        <w:t xml:space="preserve">phó với BĐKH vào hệ thống chiến lược, quy hoạch, thực hiện cam kết quốc tế về BĐKH và bảo vệ tầng ô-dôn.  </w:t>
      </w:r>
    </w:p>
    <w:p w:rsidR="00FA7C47" w:rsidRDefault="00F850F3">
      <w:pPr>
        <w:spacing w:after="71"/>
        <w:ind w:left="509" w:right="473"/>
      </w:pPr>
      <w:r>
        <w:t>Đặc biệt, Luật đã chế định về tổ chức và phát triển thị trường các-bon như là công cụ để thúc đẩy giảm phát thải khí nhà kính trong nước, góp phần t</w:t>
      </w:r>
      <w:r>
        <w:t>hực hiện đóng góp về giảm nhẹ phát thải khí nhà kính do Việt Nam cam kết khi tham gia Thỏa thuận Paris về BĐKH. Trong đó, quy định rõ đối tượng được phân bổ hạn ngạch phát thải khí nhà kính và có quyền trao đổi, mua bán trên thị trường các-bon trong nước;</w:t>
      </w:r>
      <w:r>
        <w:t xml:space="preserve"> căn cứ xác định hạn ngạch phát thải khí nhà kính; trách nhiệm của các cơ quan quản lý, tổ chức liên quan trong việc phân bổ hạn ngạch phát thải khí nhà kính; lộ trình và thời điểm triển khai thị trường các-bon trong nước để phù hợp với điều kiện kinh tế -</w:t>
      </w:r>
      <w:r>
        <w:t xml:space="preserve"> xã hội của đất nước và điều ước quốc tế mà nước Cộng hòa xã hội chủ nghĩa Việt Nam là thành viên. </w:t>
      </w:r>
    </w:p>
    <w:p w:rsidR="00FA7C47" w:rsidRDefault="00F850F3">
      <w:pPr>
        <w:numPr>
          <w:ilvl w:val="0"/>
          <w:numId w:val="6"/>
        </w:numPr>
        <w:spacing w:after="72" w:line="270" w:lineRule="auto"/>
        <w:ind w:right="477"/>
      </w:pPr>
      <w:r>
        <w:rPr>
          <w:b/>
        </w:rPr>
        <w:t xml:space="preserve">Hoàn thiện hành lang pháp lý bảo vệ di sản thiên nhiên phù hợp với pháp luật quốc tế về di sản thế giới, đáp ứng yêu cầu của quá trình hội nhập quốc tế </w:t>
      </w:r>
    </w:p>
    <w:p w:rsidR="00FA7C47" w:rsidRDefault="00F850F3">
      <w:pPr>
        <w:ind w:left="509" w:right="473"/>
      </w:pPr>
      <w:r>
        <w:t>Th</w:t>
      </w:r>
      <w:r>
        <w:t>eo Công ước về bảo vệ di sản văn hóa và thiên nhiên thế giới (Công ước di sản thế giới), di sản thế giới được chia làm 02 loại bao gồm: di sản thiên nhiên và di sản văn hóa có các đặc điểm, tiêu chí hoàn toàn khác nhau (tiêu chí của di sản thiên nhiên gắn</w:t>
      </w:r>
      <w:r>
        <w:t xml:space="preserve"> với các yếu tố của tự nhiên, trong đó tiêu chí của di sản văn hóa gắn với yếu tố con người). Việt Nam đã tham gia Công ước này từ năm 1987, tuy nhiên, hệ thống pháp luật của Việt Nam về quản lý di sản thiên nhiên chưa nội luật hóa đầy đủ và tương thích v</w:t>
      </w:r>
      <w:r>
        <w:t>ới nội dung của Công ước. Các quy định về đối tượng là di sản thiên nhiên của Việt Nam đang được quy định tản mạn trong một số pháp luật chuyên ngành như Luật Đa dạng sinh học (khu bảo tồn đất ngập nước), Luật Lâm nghiệp (khu bảo tồn là rừng đặc dụng), Luậ</w:t>
      </w:r>
      <w:r>
        <w:t>t Thủy sản (khu bảo tồn biển), thậm chí còn được quy định trong pháp luật về di sản văn hóa (Luật Di sản văn hóa quy định di sản văn hóa còn bao gồm cả danh lam thắng cảnh là một đối tượng của di sản thiên nhiên), do đó, chưa bao quát được toàn bộ các đ</w:t>
      </w:r>
      <w:r>
        <w:t>ối tượng là di sản thiên nhiên cần bảo vệ (như công viên địa chất toàn cầu, khu dự trữ sinh quyển, khu Ramsar –khu đất ngập nước có tầm quan trọng quốc tế, vườn di sản ASEAN), đồng thời thiếu quy định về việc xác lập cũng như chế độ quản lý các di sản thi</w:t>
      </w:r>
      <w:r>
        <w:t xml:space="preserve">ên nhiên cấp quốc tế này. Điều này tạo ra rào cản trong quá trình hội nhập và thực hiện Công ước di sản thế giới mà Việt Nam đã tham gia cũng như phát sinh nhiều vấn đề chưa được xử lý trong thực tiễn quản lý hiện nay. </w:t>
      </w:r>
    </w:p>
    <w:p w:rsidR="00FA7C47" w:rsidRDefault="00F850F3">
      <w:pPr>
        <w:ind w:left="509" w:right="473"/>
      </w:pPr>
      <w:r>
        <w:t>Để khắc phục các bất cập này, Luật</w:t>
      </w:r>
      <w:r>
        <w:t xml:space="preserve"> BVMT 2020 đã đưa ra các quy định về tiêu chí xác lập di sản thiên nhiên dựa trên cơ sở các tiêu chí của quốc tế và thực tiễn điều kiện Việt Nam hiện nay; trong đó đối với các đối tượng là di sản thiên nhiên đã được quy định trong pháp luật về lâm nghiệp, </w:t>
      </w:r>
      <w:r>
        <w:t>thủy sản, đa dạng sinh học và di sản văn hóa thì vẫn thực hiện theo các quy định này để tránh xáo trộn, chồng chéo. Đồng thời, quy định việc điều tra, đánh giá, quản lý và BVMT di sản thiên nhiên để bảo vệ, phát huy giá trị bền vững di sản thiên nhiên ở nư</w:t>
      </w:r>
      <w:r>
        <w:t xml:space="preserve">ớc ta. </w:t>
      </w:r>
    </w:p>
    <w:p w:rsidR="00FA7C47" w:rsidRDefault="00F850F3">
      <w:pPr>
        <w:numPr>
          <w:ilvl w:val="0"/>
          <w:numId w:val="6"/>
        </w:numPr>
        <w:spacing w:after="72" w:line="270" w:lineRule="auto"/>
        <w:ind w:right="477"/>
      </w:pPr>
      <w:r>
        <w:rPr>
          <w:b/>
        </w:rPr>
        <w:t xml:space="preserve">Tạo lập chính sách phát triển các mô hình tăng trưởng kinh tế bền vững, thúc đẩy kinh tế tuần hoàn, phục hồi và phát triển nguồn vốn tự nhiên </w:t>
      </w:r>
    </w:p>
    <w:p w:rsidR="00FA7C47" w:rsidRDefault="00F850F3">
      <w:pPr>
        <w:ind w:left="509" w:right="473"/>
      </w:pPr>
      <w:r>
        <w:t>Phát triển kinh tế bền vững thông qua việc thúc đẩy các mô hình kinh tế xanh, kinh tế tuần hoàn, kinh tế</w:t>
      </w:r>
      <w:r>
        <w:t xml:space="preserve"> ít phát thải các-bon, đầu tư vào vốn tự nhiên đang là xu hướng chủ đạo trong phát triển kinh tế của các nước trên thế giới hiện nay, nhất là các nước đang phát triển. Các mô hình này tập trung vào việc đầu tư sản xuất, tiêu dùng, xuất nhập khẩu, phân phối</w:t>
      </w:r>
      <w:r>
        <w:t xml:space="preserve"> và kinh doanh các sản phẩm, hàng hóa và dịch vụ hướng tới tối ưu hóa sử dụng nguyên liệu, vật liệu, năng lượng và chất thải, thân thiện với môi trường; đầu tư vào vốn tự nhiên.  </w:t>
      </w:r>
    </w:p>
    <w:p w:rsidR="00FA7C47" w:rsidRDefault="00F850F3">
      <w:pPr>
        <w:ind w:left="509" w:right="473"/>
      </w:pPr>
      <w:r>
        <w:t>Ở nước ta, nhiều chủ trương, chính sách của Đảng và Nhà nước về thúc đẩy tă</w:t>
      </w:r>
      <w:r>
        <w:t>ng trưởng xanh, phát triển nền kinh tế tuần hoàn, hướng tới phát triển bền vững cũng đã được ban hành nhưng còn thiếu cơ sở pháp lý tạo nền tảng cho thúc đẩy các mô hình kinh tế này. Vốn tự nhiên là các nguồn tài nguyên thiên nhiên, bao gồm tài nguyên đ</w:t>
      </w:r>
      <w:r>
        <w:t>ất, tài nguyên nước, tài nguyên rừng, nguồn lợi thủy sản, khoáng sản, nhiên liệu hóa thạch, các nguồn năng lượng tự nhiên và các dịch vụ hệ sinh thái tự nhiên. Cũng giống như các dạng vốn khác (vốn vật chất, vốn tài chính và vốn con người), vốn tự nhiên c</w:t>
      </w:r>
      <w:r>
        <w:t xml:space="preserve">ũng có thể bị suy giảm và suy thoái do quá trình sản xuất và tiêu dùng. Tuy nhiên, trong thời gian qua, với mô hình tăng trưởng trước đây, chúng ta mới chỉ tập trung tích lũy nhanh vốn vật chất, tài chính và con người mà thiếu đi sự quan tâm tới sự suy </w:t>
      </w:r>
      <w:r>
        <w:t xml:space="preserve">giảm, cạn kiệt của vốn tự nhiên, tạo ra những rủi ro và thách thức lớn cho thế hệ tương lai.  </w:t>
      </w:r>
    </w:p>
    <w:p w:rsidR="00FA7C47" w:rsidRDefault="00F850F3">
      <w:pPr>
        <w:ind w:left="509" w:right="473"/>
      </w:pPr>
      <w:r>
        <w:t>Để giải quyết các vấn đề này, đồng thời tạo động lực phát triển bền vững và nâng cao chất lượng tăng trưởng và sự thịnh vượng quốc gia, Luật BVMT 2020 đã bổ sung một chương về các công cụ kinh tế và nguồn lực cho BVMT. Trong đó, đã bổ sung các chính sách v</w:t>
      </w:r>
      <w:r>
        <w:t>ề phát triển ngành công nghiệp môi trường, dịch vụ môi trường, sản phẩm, dịch vụ thân thiện môi trường; ưu tiên thực hiện mua sắm xanh đối với dự án, nhiệm vụ sử dụng ngân sách nhà nước; thúc đẩy việc khai thác, sử dụng và phát triển vốn tự nhiên; đặc bi</w:t>
      </w:r>
      <w:r>
        <w:t xml:space="preserve">ệt là thúc đẩy kinh tế tuần hoàn. Đồng thời, bổ sung chính sách về tín dụng xanh, trái phiếu xanh để huy động đa dạng các nguồn lực xã hội cho BVMT. </w:t>
      </w:r>
    </w:p>
    <w:p w:rsidR="00FA7C47" w:rsidRDefault="00F850F3">
      <w:pPr>
        <w:ind w:left="509" w:right="473"/>
      </w:pPr>
      <w:r>
        <w:t>Với nhiều chính sách mới mang tính đột phá, Luật BVMT 2020 được kỳ vọng sẽ tạo bước tiến lớn trong công t</w:t>
      </w:r>
      <w:r>
        <w:t>ác BVMT tại nước ta. Để bảo đảm thi hành Luật BVMT 2020 có hiệu quả, thời gian tới, chúng ta phải tập trung rà soát các văn bản quy phạm pháp luật hiện hành có liên quan đến Luật BVMT; kiến nghị cơ quan có thẩm quyền kịp thời sửa đổi, bổ sung, thay thế, b</w:t>
      </w:r>
      <w:r>
        <w:t>ãi bỏ hoặc ban hành mới các văn bản quy phạm pháp luật, đảm bảo phù hợp với quy định của Luật. Đồng thời, cần tập trung tuyên truyền, phổ biến Luật đến các Bộ, ngành, địa phương, cán bộ, công chức, viên chức, người lao động, doanh nghiệp và nhân dân với n</w:t>
      </w:r>
      <w:r>
        <w:t xml:space="preserve">ội dung, hình thức phù hợp nhằm sớm đưa Luật vào cuộc sống. Bên cạnh đó, cần có sự quyết tâm của các cơ quan quản lý, có sự vào cuộc một cách chủ động, tích cực của người dân, doanh nghiệp - là lực lượng nòng cốt trong công tác BVMT./. </w:t>
      </w:r>
    </w:p>
    <w:sectPr w:rsidR="00FA7C47">
      <w:headerReference w:type="even" r:id="rId7"/>
      <w:headerReference w:type="default" r:id="rId8"/>
      <w:headerReference w:type="first" r:id="rId9"/>
      <w:pgSz w:w="11906" w:h="16841"/>
      <w:pgMar w:top="1168" w:right="648" w:bottom="1266" w:left="11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850F3">
      <w:pPr>
        <w:spacing w:after="0" w:line="240" w:lineRule="auto"/>
      </w:pPr>
      <w:r>
        <w:separator/>
      </w:r>
    </w:p>
  </w:endnote>
  <w:endnote w:type="continuationSeparator" w:id="0">
    <w:p w:rsidR="00000000" w:rsidRDefault="00F8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850F3">
      <w:pPr>
        <w:spacing w:after="0" w:line="240" w:lineRule="auto"/>
      </w:pPr>
      <w:r>
        <w:separator/>
      </w:r>
    </w:p>
  </w:footnote>
  <w:footnote w:type="continuationSeparator" w:id="0">
    <w:p w:rsidR="00000000" w:rsidRDefault="00F8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7C47" w:rsidRDefault="00F850F3">
    <w:pPr>
      <w:spacing w:after="0" w:line="259" w:lineRule="auto"/>
      <w:ind w:left="100" w:right="0" w:firstLine="0"/>
      <w:jc w:val="center"/>
    </w:pPr>
    <w:r>
      <w:rPr>
        <w:sz w:val="24"/>
      </w:rPr>
      <w:t xml:space="preserve"> </w:t>
    </w:r>
  </w:p>
  <w:p w:rsidR="00FA7C47" w:rsidRDefault="00F850F3">
    <w:pPr>
      <w:spacing w:after="0" w:line="259" w:lineRule="auto"/>
      <w:ind w:left="40" w:right="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7C47" w:rsidRDefault="00F850F3">
    <w:pPr>
      <w:spacing w:after="0" w:line="259" w:lineRule="auto"/>
      <w:ind w:left="100" w:right="0" w:firstLine="0"/>
      <w:jc w:val="center"/>
    </w:pPr>
    <w:r>
      <w:rPr>
        <w:sz w:val="24"/>
      </w:rPr>
      <w:t xml:space="preserve"> </w:t>
    </w:r>
  </w:p>
  <w:p w:rsidR="00FA7C47" w:rsidRDefault="00F850F3">
    <w:pPr>
      <w:spacing w:after="0" w:line="259" w:lineRule="auto"/>
      <w:ind w:left="40" w:right="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7C47" w:rsidRDefault="00FA7C4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AE2"/>
    <w:multiLevelType w:val="hybridMultilevel"/>
    <w:tmpl w:val="FFFFFFFF"/>
    <w:lvl w:ilvl="0" w:tplc="19565728">
      <w:start w:val="3"/>
      <w:numFmt w:val="decimal"/>
      <w:lvlText w:val="%1."/>
      <w:lvlJc w:val="left"/>
      <w:pPr>
        <w:ind w:left="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50E093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34B202">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205780">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2901FD0">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5784F32">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D8A002A">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9F6E96E">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FD0DA5A">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A03299"/>
    <w:multiLevelType w:val="hybridMultilevel"/>
    <w:tmpl w:val="FFFFFFFF"/>
    <w:lvl w:ilvl="0" w:tplc="A77CB7E6">
      <w:start w:val="1"/>
      <w:numFmt w:val="decimal"/>
      <w:lvlText w:val="(%1)"/>
      <w:lvlJc w:val="left"/>
      <w:pPr>
        <w:ind w:left="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AA255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F0C6A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BE18B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72122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4AFFD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DE35B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86CEF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06FA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48823BB"/>
    <w:multiLevelType w:val="hybridMultilevel"/>
    <w:tmpl w:val="FFFFFFFF"/>
    <w:lvl w:ilvl="0" w:tplc="F072D99A">
      <w:start w:val="1"/>
      <w:numFmt w:val="decimal"/>
      <w:lvlText w:val="(%1)"/>
      <w:lvlJc w:val="left"/>
      <w:pPr>
        <w:ind w:left="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F6471A">
      <w:start w:val="1"/>
      <w:numFmt w:val="lowerLetter"/>
      <w:lvlText w:val="%2"/>
      <w:lvlJc w:val="left"/>
      <w:pPr>
        <w:ind w:left="2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9233BC">
      <w:start w:val="1"/>
      <w:numFmt w:val="lowerRoman"/>
      <w:lvlText w:val="%3"/>
      <w:lvlJc w:val="left"/>
      <w:pPr>
        <w:ind w:left="2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76733A">
      <w:start w:val="1"/>
      <w:numFmt w:val="decimal"/>
      <w:lvlText w:val="%4"/>
      <w:lvlJc w:val="left"/>
      <w:pPr>
        <w:ind w:left="3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BABED4">
      <w:start w:val="1"/>
      <w:numFmt w:val="lowerLetter"/>
      <w:lvlText w:val="%5"/>
      <w:lvlJc w:val="left"/>
      <w:pPr>
        <w:ind w:left="4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EA6FA4">
      <w:start w:val="1"/>
      <w:numFmt w:val="lowerRoman"/>
      <w:lvlText w:val="%6"/>
      <w:lvlJc w:val="left"/>
      <w:pPr>
        <w:ind w:left="4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FE6646">
      <w:start w:val="1"/>
      <w:numFmt w:val="decimal"/>
      <w:lvlText w:val="%7"/>
      <w:lvlJc w:val="left"/>
      <w:pPr>
        <w:ind w:left="5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03648">
      <w:start w:val="1"/>
      <w:numFmt w:val="lowerLetter"/>
      <w:lvlText w:val="%8"/>
      <w:lvlJc w:val="left"/>
      <w:pPr>
        <w:ind w:left="6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46787C">
      <w:start w:val="1"/>
      <w:numFmt w:val="lowerRoman"/>
      <w:lvlText w:val="%9"/>
      <w:lvlJc w:val="left"/>
      <w:pPr>
        <w:ind w:left="7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4E2941"/>
    <w:multiLevelType w:val="hybridMultilevel"/>
    <w:tmpl w:val="FFFFFFFF"/>
    <w:lvl w:ilvl="0" w:tplc="A7DC53FC">
      <w:start w:val="5"/>
      <w:numFmt w:val="decimal"/>
      <w:lvlText w:val="%1."/>
      <w:lvlJc w:val="left"/>
      <w:pPr>
        <w:ind w:left="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E6C6CC">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9D89610">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10E9BCA">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EAA8E38">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5015C4">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CA2739A">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850843A">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06211A">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5C62B36"/>
    <w:multiLevelType w:val="hybridMultilevel"/>
    <w:tmpl w:val="FFFFFFFF"/>
    <w:lvl w:ilvl="0" w:tplc="D180B70E">
      <w:start w:val="1"/>
      <w:numFmt w:val="decimal"/>
      <w:lvlText w:val="%1."/>
      <w:lvlJc w:val="left"/>
      <w:pPr>
        <w:ind w:left="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0A727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700D1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C0B4F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26332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B0FEE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3E222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60707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9238A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3DD165A"/>
    <w:multiLevelType w:val="hybridMultilevel"/>
    <w:tmpl w:val="FFFFFFFF"/>
    <w:lvl w:ilvl="0" w:tplc="5D0649CE">
      <w:start w:val="2"/>
      <w:numFmt w:val="decimal"/>
      <w:lvlText w:val="%1."/>
      <w:lvlJc w:val="left"/>
      <w:pPr>
        <w:ind w:left="1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374B5FC">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A7E6986">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BC23928">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B1EF1A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8902E9A">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D707A50">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C3EF9CE">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C7A6682">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47"/>
    <w:rsid w:val="00F850F3"/>
    <w:rsid w:val="00FA7C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docId w15:val="{187EFB7C-EF83-764A-B052-A8A198AC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06" w:line="249" w:lineRule="auto"/>
      <w:ind w:left="524" w:right="482" w:firstLine="710"/>
      <w:jc w:val="both"/>
    </w:pPr>
    <w:rPr>
      <w:rFonts w:ascii="Times New Roman" w:eastAsia="Times New Roman" w:hAnsi="Times New Roman" w:cs="Times New Roman"/>
      <w:color w:val="000000"/>
      <w:sz w:val="28"/>
      <w:lang w:val="en-US" w:eastAsia="en-US" w:bidi="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4871</Words>
  <Characters>27768</Characters>
  <Application>Microsoft Office Word</Application>
  <DocSecurity>0</DocSecurity>
  <Lines>231</Lines>
  <Paragraphs>65</Paragraphs>
  <ScaleCrop>false</ScaleCrop>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Tµi nguyªn vµ m«i tr­êng</dc:title>
  <dc:subject/>
  <dc:creator>vanvp</dc:creator>
  <cp:keywords/>
  <cp:lastModifiedBy>ngankutecuame@gmail.com</cp:lastModifiedBy>
  <cp:revision>2</cp:revision>
  <dcterms:created xsi:type="dcterms:W3CDTF">2022-03-18T06:10:00Z</dcterms:created>
  <dcterms:modified xsi:type="dcterms:W3CDTF">2022-03-18T06:10:00Z</dcterms:modified>
</cp:coreProperties>
</file>